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FC" w:rsidRDefault="006C2CFC"/>
    <w:p w:rsidR="00E009B9" w:rsidRPr="00F96989" w:rsidRDefault="00E009B9" w:rsidP="00E009B9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GB"/>
        </w:rPr>
      </w:pPr>
      <w:r w:rsidRPr="00E009B9">
        <w:rPr>
          <w:rFonts w:ascii="Times New Roman" w:eastAsia="Calibri" w:hAnsi="Times New Roman" w:cs="Times New Roman"/>
          <w:b/>
          <w:sz w:val="28"/>
          <w:szCs w:val="28"/>
          <w:lang w:eastAsia="en-GB"/>
        </w:rPr>
        <w:t xml:space="preserve">Завдання  2 – го  етапу </w:t>
      </w:r>
      <w:r w:rsidRPr="00F96989">
        <w:rPr>
          <w:rFonts w:ascii="Times New Roman" w:eastAsia="Calibri" w:hAnsi="Times New Roman" w:cs="Times New Roman"/>
          <w:b/>
          <w:sz w:val="28"/>
          <w:szCs w:val="28"/>
          <w:lang w:eastAsia="en-GB"/>
        </w:rPr>
        <w:t xml:space="preserve"> Всеукраїнської  олімпіади з  правознавства</w:t>
      </w:r>
    </w:p>
    <w:p w:rsidR="00E009B9" w:rsidRPr="00F96989" w:rsidRDefault="00E009B9" w:rsidP="00E009B9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GB"/>
        </w:rPr>
      </w:pPr>
      <w:r w:rsidRPr="00F96989">
        <w:rPr>
          <w:rFonts w:ascii="Times New Roman" w:eastAsia="Calibri" w:hAnsi="Times New Roman" w:cs="Times New Roman"/>
          <w:b/>
          <w:sz w:val="28"/>
          <w:szCs w:val="28"/>
          <w:lang w:eastAsia="en-GB"/>
        </w:rPr>
        <w:t xml:space="preserve">                                </w:t>
      </w:r>
    </w:p>
    <w:p w:rsidR="00E009B9" w:rsidRPr="00E009B9" w:rsidRDefault="00E009B9" w:rsidP="00F96989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GB"/>
        </w:rPr>
      </w:pPr>
      <w:r w:rsidRPr="00F96989">
        <w:rPr>
          <w:rFonts w:ascii="Times New Roman" w:eastAsia="Calibri" w:hAnsi="Times New Roman" w:cs="Times New Roman"/>
          <w:b/>
          <w:sz w:val="28"/>
          <w:szCs w:val="28"/>
          <w:lang w:eastAsia="en-GB"/>
        </w:rPr>
        <w:t xml:space="preserve">                                                           </w:t>
      </w:r>
      <w:r w:rsidRPr="00E009B9">
        <w:rPr>
          <w:rFonts w:ascii="Times New Roman" w:eastAsia="Calibri" w:hAnsi="Times New Roman" w:cs="Times New Roman"/>
          <w:b/>
          <w:sz w:val="28"/>
          <w:szCs w:val="28"/>
          <w:lang w:eastAsia="en-GB"/>
        </w:rPr>
        <w:t>11 клас</w:t>
      </w:r>
      <w:r w:rsidRPr="00F96989">
        <w:rPr>
          <w:rFonts w:ascii="Times New Roman" w:eastAsia="Calibri" w:hAnsi="Times New Roman" w:cs="Times New Roman"/>
          <w:b/>
          <w:sz w:val="28"/>
          <w:szCs w:val="28"/>
          <w:lang w:eastAsia="en-GB"/>
        </w:rPr>
        <w:t xml:space="preserve">                              </w:t>
      </w:r>
      <w:r w:rsidRPr="00E009B9">
        <w:rPr>
          <w:rFonts w:ascii="Times New Roman" w:eastAsia="Calibri" w:hAnsi="Times New Roman" w:cs="Times New Roman"/>
          <w:b/>
          <w:sz w:val="28"/>
          <w:szCs w:val="28"/>
          <w:lang w:eastAsia="en-GB"/>
        </w:rPr>
        <w:t xml:space="preserve"> 2024 – 2025  н. р.</w:t>
      </w:r>
    </w:p>
    <w:p w:rsidR="00F96989" w:rsidRDefault="00F96989" w:rsidP="00F9698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96989">
        <w:rPr>
          <w:rFonts w:ascii="Times New Roman" w:eastAsia="Calibri" w:hAnsi="Times New Roman" w:cs="Times New Roman"/>
          <w:b/>
          <w:sz w:val="20"/>
          <w:szCs w:val="20"/>
        </w:rPr>
        <w:t>Завдання  1. Тести (максимум  10  балів)</w:t>
      </w:r>
      <w:r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E009B9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1. Відсторонення водіїв від керування транспортним засобом є: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Calibri" w:hAnsi="Times New Roman" w:cs="Times New Roman"/>
          <w:sz w:val="20"/>
          <w:szCs w:val="20"/>
          <w:lang w:eastAsia="en-GB"/>
        </w:rPr>
        <w:t>а</w:t>
      </w:r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 xml:space="preserve">) заходом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>адміністративної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>відповідальності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Calibri" w:hAnsi="Times New Roman" w:cs="Times New Roman"/>
          <w:sz w:val="20"/>
          <w:szCs w:val="20"/>
          <w:lang w:eastAsia="en-GB"/>
        </w:rPr>
        <w:t>б</w:t>
      </w:r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 xml:space="preserve">) заходом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>адміністративного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>запобігання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Calibri" w:hAnsi="Times New Roman" w:cs="Times New Roman"/>
          <w:sz w:val="20"/>
          <w:szCs w:val="20"/>
          <w:lang w:eastAsia="en-GB"/>
        </w:rPr>
        <w:t>в</w:t>
      </w:r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 xml:space="preserve">) заходом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>адміністративного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>припинення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Calibri" w:hAnsi="Times New Roman" w:cs="Times New Roman"/>
          <w:sz w:val="20"/>
          <w:szCs w:val="20"/>
          <w:lang w:eastAsia="en-GB"/>
        </w:rPr>
        <w:t>г)</w:t>
      </w:r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 xml:space="preserve"> заходом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>адміністративного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>попередження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lang w:eastAsia="en-GB"/>
        </w:rPr>
        <w:t>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2. До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загальних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умов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вступу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на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державну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службу НЕ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належить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  <w:t>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а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володіння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державною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мовою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б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наявність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вищої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освіти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в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проходження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спеціальної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перевірки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г)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проходження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військової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служби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3</w:t>
      </w:r>
      <w:r w:rsidRPr="00E009B9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. </w:t>
      </w:r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Право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власності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на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новозбудований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приватний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житловий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будинок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на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загальних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підставах</w:t>
      </w:r>
      <w:proofErr w:type="spellEnd"/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  <w:t>в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иника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  <w:t>є</w:t>
      </w:r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з моменту</w:t>
      </w:r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  <w:t>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а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прийняття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в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експлуатацію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б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завершення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будівництва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в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державної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реєстрації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права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власності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г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отримання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витягу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з державного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реєстру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речових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прав на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нерухоме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майно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та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їх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обтяжень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про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реєстрацію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права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власності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4</w:t>
      </w:r>
      <w:r w:rsidRPr="00E009B9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.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Піклувальник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може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давати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згоду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  <w:t>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а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на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укладення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договору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дарування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між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своїм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підопічним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та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своєю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дружиною, в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якому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остання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виступає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як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дарувальник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в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на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укладення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договору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позички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між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своїм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підопічним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та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своїм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братом, де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останній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виступає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як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користувач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г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на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укладення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кредитного договору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між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своїм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підопічним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та банком, де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підопічний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виступає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як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позичальник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г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на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складення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своїм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підопічним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заповіту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  <w:t>5</w:t>
      </w:r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. До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запобіжних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заходів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у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кримінальному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провадженні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НЕ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належить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  <w:t>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а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oco</w:t>
      </w: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бисте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забовʼязання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 б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особиста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порука</w:t>
      </w: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 в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) застава</w:t>
      </w: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 г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арешт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</w:pPr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 xml:space="preserve">6. Стосовно 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відповідності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 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lang w:val="ru-RU"/>
        </w:rPr>
        <w:fldChar w:fldCharType="begin"/>
      </w:r>
      <w:r w:rsidRPr="00E009B9">
        <w:rPr>
          <w:rFonts w:ascii="Times New Roman" w:eastAsia="Calibri" w:hAnsi="Times New Roman" w:cs="Times New Roman"/>
          <w:b/>
          <w:sz w:val="20"/>
          <w:szCs w:val="20"/>
          <w:lang w:val="ru-RU"/>
        </w:rPr>
        <w:instrText xml:space="preserve"> HYPERLINK "https://zakon.rada.gov.ua/laws/show/254%D0%BA/96-%D0%B2%D1%80" \t "_blank" </w:instrText>
      </w:r>
      <w:r w:rsidRPr="00E009B9">
        <w:rPr>
          <w:rFonts w:ascii="Times New Roman" w:eastAsia="Calibri" w:hAnsi="Times New Roman" w:cs="Times New Roman"/>
          <w:b/>
          <w:sz w:val="20"/>
          <w:szCs w:val="20"/>
          <w:lang w:val="ru-RU"/>
        </w:rPr>
        <w:fldChar w:fldCharType="separate"/>
      </w:r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Конституції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України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lang w:val="ru-RU"/>
        </w:rPr>
        <w:fldChar w:fldCharType="end"/>
      </w:r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 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чинних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міжнародних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договорів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України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або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тих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міжнародних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договорів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що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вносяться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до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Верховної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Ради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України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для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надання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згоди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на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їх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val="ru-RU"/>
        </w:rPr>
        <w:t>обов’язковіст</w:t>
      </w:r>
      <w:proofErr w:type="spellEnd"/>
      <w:r w:rsidRPr="00E009B9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ь  Конституційний  Суд  України: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а) ухвалює  рішення; б)  надає  висновки; в) постановляє  ухвали;  г) видає  забезпечувальні  накази.</w:t>
      </w:r>
    </w:p>
    <w:p w:rsidR="00E009B9" w:rsidRPr="00E009B9" w:rsidRDefault="00E009B9" w:rsidP="00E009B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7</w:t>
      </w:r>
      <w:r w:rsidRPr="00E009B9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.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Використання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малолітнього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для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заняття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жебрацтвом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і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втягнення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малолітнього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у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заняття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жебрацтвом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розглядаються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, як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діяння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, за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які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:</w:t>
      </w:r>
    </w:p>
    <w:p w:rsidR="00E009B9" w:rsidRPr="00E009B9" w:rsidRDefault="00E009B9" w:rsidP="00E009B9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а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в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залежності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від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наслідків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настає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або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адміністративна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,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або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кримінальна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відповідальність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</w:p>
    <w:p w:rsidR="00E009B9" w:rsidRPr="00E009B9" w:rsidRDefault="00E009B9" w:rsidP="00E009B9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б) настає адміністративна відповідальність;</w:t>
      </w:r>
    </w:p>
    <w:p w:rsidR="00E009B9" w:rsidRPr="00E009B9" w:rsidRDefault="00E009B9" w:rsidP="00E009B9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в) настає кримінальна відповідальність, передбачена однією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статею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Кримінального кодексу; </w:t>
      </w:r>
    </w:p>
    <w:p w:rsidR="00E009B9" w:rsidRPr="00E009B9" w:rsidRDefault="00E009B9" w:rsidP="00E009B9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г)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настає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кримінальна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відповідальність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,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передбачена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двома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різними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статтями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Кримінального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кодексу</w:t>
      </w: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:rsidR="00E009B9" w:rsidRPr="00E009B9" w:rsidRDefault="00E009B9" w:rsidP="00E009B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8</w:t>
      </w:r>
      <w:r w:rsidRPr="00E009B9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.</w:t>
      </w:r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До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тарифної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системи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оплати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праці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val="ru-RU" w:eastAsia="en-GB"/>
        </w:rPr>
        <w:t>належить</w:t>
      </w:r>
      <w:proofErr w:type="spellEnd"/>
      <w:r w:rsidRPr="00E009B9"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  <w:t>:</w:t>
      </w:r>
    </w:p>
    <w:p w:rsidR="00E009B9" w:rsidRPr="00E009B9" w:rsidRDefault="00E009B9" w:rsidP="00E009B9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а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мінімальна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заробітна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плата</w:t>
      </w: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б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посадовий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оклад</w:t>
      </w: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Calibri" w:hAnsi="Times New Roman" w:cs="Times New Roman"/>
          <w:sz w:val="20"/>
          <w:szCs w:val="20"/>
          <w:lang w:eastAsia="en-GB"/>
        </w:rPr>
        <w:t>в</w:t>
      </w:r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>відрядні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lang w:val="ru-RU" w:eastAsia="en-GB"/>
        </w:rPr>
        <w:t>розцінки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lang w:eastAsia="en-GB"/>
        </w:rPr>
        <w:t>;</w:t>
      </w:r>
    </w:p>
    <w:p w:rsidR="00E009B9" w:rsidRPr="00E009B9" w:rsidRDefault="00E009B9" w:rsidP="00E009B9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г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компенсація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витрат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у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звʼязку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зі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службовим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відрядженням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:rsidR="00E009B9" w:rsidRPr="00E009B9" w:rsidRDefault="00E009B9" w:rsidP="00E009B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9. Оберіть  правильне  твердження: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09B9">
        <w:rPr>
          <w:rFonts w:ascii="Times New Roman" w:eastAsia="Calibri" w:hAnsi="Times New Roman" w:cs="Times New Roman"/>
          <w:sz w:val="20"/>
          <w:szCs w:val="20"/>
          <w:lang w:eastAsia="ru-RU"/>
        </w:rPr>
        <w:t>а) сімейно-правові санкції, на відміну від цивільно-правових, можуть передбачати припинення правового зв’язку між учасниками сімейно -  правових  відносин, коли підстава для виникнення цього зв’язку залишається;</w:t>
      </w:r>
    </w:p>
    <w:p w:rsidR="00E009B9" w:rsidRPr="00E009B9" w:rsidRDefault="00E009B9" w:rsidP="00E009B9">
      <w:pPr>
        <w:tabs>
          <w:tab w:val="left" w:pos="140"/>
          <w:tab w:val="left" w:pos="280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09B9">
        <w:rPr>
          <w:rFonts w:ascii="Times New Roman" w:eastAsia="Calibri" w:hAnsi="Times New Roman" w:cs="Times New Roman"/>
          <w:sz w:val="20"/>
          <w:szCs w:val="20"/>
          <w:lang w:eastAsia="ru-RU"/>
        </w:rPr>
        <w:t>б) якщо  цивільно - правова відповідальність носить виключно немайновий характер, то відповідальність учасників сімейно – правових  відносин - здебільшого майновий;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з точки зору  базової галузі приватного права (цивільного) як  шлюбний  договір,  так  і  трудовий,  можуть вважатися реальними і двосторонніми; 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сторонами  як  договору  доручення,  так  і  договору  дарування,  можуть бути  тільки  фізичні  особи.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 Особа,  яка  претендує  на  заняття  нотаріальною  діяльністю,  повинна  мати  стаж  у  галузі  права  не  менш  як: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п’ять  років;  б) шість  років; в)  два  роки;  г)  три  роки.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4D5156"/>
          <w:sz w:val="20"/>
          <w:szCs w:val="20"/>
          <w:shd w:val="clear" w:color="auto" w:fill="FFFFFF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Завдання  2. Вставте  пропущені  слова  у визначення  правових  термінів (максимум  10 балів):</w:t>
      </w:r>
      <w:r w:rsidRPr="00E009B9">
        <w:rPr>
          <w:rFonts w:ascii="Arial" w:eastAsia="Calibri" w:hAnsi="Arial" w:cs="Arial"/>
          <w:color w:val="4D5156"/>
          <w:sz w:val="21"/>
          <w:szCs w:val="21"/>
          <w:shd w:val="clear" w:color="auto" w:fill="FFFFFF"/>
          <w:lang w:val="ru-RU"/>
        </w:rPr>
        <w:t xml:space="preserve"> </w:t>
      </w:r>
      <w:r w:rsidRPr="00E009B9">
        <w:rPr>
          <w:rFonts w:ascii="Arial" w:eastAsia="Calibri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E009B9">
        <w:rPr>
          <w:rFonts w:ascii="Times New Roman" w:eastAsia="Calibri" w:hAnsi="Times New Roman" w:cs="Times New Roman"/>
          <w:color w:val="4D5156"/>
          <w:sz w:val="20"/>
          <w:szCs w:val="20"/>
          <w:shd w:val="clear" w:color="auto" w:fill="FFFFFF"/>
        </w:rPr>
        <w:t xml:space="preserve"> 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E009B9">
        <w:rPr>
          <w:rFonts w:ascii="Times New Roman" w:eastAsia="Calibri" w:hAnsi="Times New Roman" w:cs="Times New Roman"/>
          <w:color w:val="4D5156"/>
          <w:sz w:val="20"/>
          <w:szCs w:val="20"/>
          <w:shd w:val="clear" w:color="auto" w:fill="FFFFFF"/>
        </w:rPr>
        <w:t xml:space="preserve">1. </w:t>
      </w:r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Упущена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>вигода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-  це</w:t>
      </w:r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…….</w:t>
      </w:r>
      <w:proofErr w:type="gramEnd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>які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 особа могла б </w:t>
      </w:r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….. </w:t>
      </w:r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>одержати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 за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>звичайних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>обставин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>якби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>її</w:t>
      </w:r>
      <w:proofErr w:type="spellEnd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 право не</w:t>
      </w:r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було  порушено</w:t>
      </w:r>
      <w:proofErr w:type="gramEnd"/>
      <w:r w:rsidRPr="00E009B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2. </w:t>
      </w:r>
      <w:proofErr w:type="spellStart"/>
      <w:proofErr w:type="gram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>Хуліганство</w:t>
      </w:r>
      <w:proofErr w:type="spell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  -</w:t>
      </w:r>
      <w:proofErr w:type="gram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 це  </w:t>
      </w:r>
      <w:proofErr w:type="spell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>грубе</w:t>
      </w:r>
      <w:proofErr w:type="spell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>порушення</w:t>
      </w:r>
      <w:proofErr w:type="spell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>громадського</w:t>
      </w:r>
      <w:proofErr w:type="spell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порядку з </w:t>
      </w:r>
      <w:proofErr w:type="spell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>мотивів</w:t>
      </w:r>
      <w:proofErr w:type="spell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>явної</w:t>
      </w:r>
      <w:proofErr w:type="spell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>неповаги</w:t>
      </w:r>
      <w:proofErr w:type="spell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до </w:t>
      </w:r>
      <w:proofErr w:type="spell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>суспільства</w:t>
      </w:r>
      <w:proofErr w:type="spell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>що</w:t>
      </w:r>
      <w:proofErr w:type="spell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>супроводжується</w:t>
      </w:r>
      <w:proofErr w:type="spell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…….  </w:t>
      </w:r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>зухвалістю</w:t>
      </w:r>
      <w:proofErr w:type="spell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>чи</w:t>
      </w:r>
      <w:proofErr w:type="spell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…….</w:t>
      </w:r>
      <w:proofErr w:type="gram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E009B9">
        <w:rPr>
          <w:rFonts w:ascii="Times New Roman" w:eastAsia="Calibri" w:hAnsi="Times New Roman" w:cs="Times New Roman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>цинізмом</w:t>
      </w:r>
      <w:proofErr w:type="spellEnd"/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3. Національна поліція України (поліція) - це …….</w:t>
      </w:r>
      <w:r w:rsidRPr="00E009B9">
        <w:rPr>
          <w:rFonts w:ascii="Times New Roman" w:eastAsia="Calibri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 </w:t>
      </w:r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  орган виконавчої влади, який служить суспільству шляхом …….    охорони прав і свобод людини, протидії злочинності, підтримання публічної безпеки і порядку.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4. Державний  суверенітет  -  це ……. </w:t>
      </w:r>
      <w:r w:rsidRPr="00E009B9">
        <w:rPr>
          <w:rFonts w:ascii="Times New Roman" w:eastAsia="Calibri" w:hAnsi="Times New Roman" w:cs="Times New Roman"/>
          <w:b/>
          <w:color w:val="333333"/>
          <w:sz w:val="20"/>
          <w:szCs w:val="20"/>
          <w:shd w:val="clear" w:color="auto" w:fill="FFFFFF"/>
        </w:rPr>
        <w:t>,</w:t>
      </w:r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  самостійність,  повнота,  єдність  та  неподільність  державної влади  в  середині  країни  та  рівноправність  і  …….</w:t>
      </w:r>
      <w:r w:rsidRPr="00E009B9">
        <w:rPr>
          <w:rFonts w:ascii="Times New Roman" w:eastAsia="Calibri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 </w:t>
      </w:r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 у  зовнішніх  зносинах.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lastRenderedPageBreak/>
        <w:t>5. Місцеве самоврядування в Україні - це гарантоване державою право та реальна …….. територіальної громади – жителів  села чи добровільного об’єднання у сільську громаду жителів кількох сіл, селища, міста - самостійно або під  відповідальність органів та посадових осіб місцевого самоврядування  ………  питання місцевого значення в межах  Конституції і законів України.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E009B9">
        <w:rPr>
          <w:rFonts w:ascii="Times New Roman" w:eastAsia="Calibri" w:hAnsi="Times New Roman" w:cs="Times New Roman"/>
          <w:b/>
          <w:color w:val="333333"/>
          <w:sz w:val="20"/>
          <w:szCs w:val="20"/>
          <w:shd w:val="clear" w:color="auto" w:fill="FFFFFF"/>
        </w:rPr>
        <w:t>Завдання  3. Поясніть  у  чому  полягає  відмінність  між  (максимум  15  балів):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E009B9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1. Визнанням  шлюбу  недійсним  та  розірванням  шлюбу. 2. Роботодавцем  та  працівником. 3. Підбурювачем  до скоєння  кримінального  правопорушення  та  пособником  кримінального  правопорушення.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E009B9">
        <w:rPr>
          <w:rFonts w:ascii="Times New Roman" w:eastAsia="Calibri" w:hAnsi="Times New Roman" w:cs="Times New Roman"/>
          <w:b/>
          <w:color w:val="333333"/>
          <w:sz w:val="20"/>
          <w:szCs w:val="20"/>
          <w:shd w:val="clear" w:color="auto" w:fill="FFFFFF"/>
        </w:rPr>
        <w:t>Завдання  4.  Логічні  пари  (максимум  8  балів)</w:t>
      </w:r>
      <w:r w:rsidR="00F96989">
        <w:rPr>
          <w:rFonts w:ascii="Times New Roman" w:eastAsia="Calibri" w:hAnsi="Times New Roman" w:cs="Times New Roman"/>
          <w:b/>
          <w:color w:val="333333"/>
          <w:sz w:val="20"/>
          <w:szCs w:val="20"/>
          <w:shd w:val="clear" w:color="auto" w:fill="FFFFFF"/>
        </w:rPr>
        <w:t>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Визначте відповідність між обставинами, які виключають злочинність діяння та умовами їх правомірності: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009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1) діяння, пов’язане з ризиком; 2) виконання спеціального завдання з попередження чи розкриття злочинної діяльності організованої групи чи злочинної організації; 3) фізичний примус; 4) психічний примус;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позбавлення можливості працівником охорони діяти у зв’язку з тим, що його було зв’язано та ізольовано; б) наявність об’єктивної ситуації, що свідчить про необхідність досягнення значної суспільно-корисної мети; в) особа під погрозою застосування фізичного насильства відключила сигналізацію у банку, не перевищивши при цьому меж крайньої необхідності; г) від  суспільно  небезпечного  посягання  можуть  захищатися,  зокрема,  суспільні  інтереси  та  інтереси  держави; д) дії  не  повинні  бути  пов’язані  із  умисним  вчиненням  особливо  тяжкого  злочину  поєднаного  з  насильством  над  потерпілим.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Визначте відповідність  між  парами  договорів  та  спільними ознаками пар цих договорів: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009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1) шлюбний і цивільний; 2) трудовий і цивільний; 3) цивільний і господарський; 4) трудовий і шлюбний;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обидва договори можуть укладатися як в усній, так і в письмовій формі; б) обидва договори укладаються тільки  в усній формі; в) за взаємним становищем сторін обидва договори є горизонтальними, але один з них може бути вертикальним; г) обидва договори укладаються в письмовій формі, але один з них може бути укладений також в усній формі; д) обидва договори укладаються на користь самих осіб, однак можуть укладатися і на користь третіх осіб.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Завдання  5. Задачі  (максимум  13  балів): </w:t>
      </w:r>
    </w:p>
    <w:p w:rsidR="00E009B9" w:rsidRPr="00E009B9" w:rsidRDefault="00E009B9" w:rsidP="00F9698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Розв’яжіть  задачу  № 1</w:t>
      </w:r>
      <w:r w:rsidR="00F969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(8 балів</w:t>
      </w:r>
      <w:r w:rsidR="00F96989" w:rsidRPr="00F969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F969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E009B9" w:rsidRPr="00E009B9" w:rsidRDefault="00E009B9" w:rsidP="00E009B9">
      <w:pPr>
        <w:spacing w:before="20"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  10 жовтня 2024 р. власник автомобіля „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</w:rPr>
        <w:t>Вольво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</w:rPr>
        <w:t>Чопей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>, під’їхав на своєму авто до подвір’я власного будинку, щ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об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забрати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теку з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паперами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Дверцята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машини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були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залишені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відкритими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двигун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не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було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вимкнено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Після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того як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Чопей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зайшов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будинку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Власенко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сів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у машину</w:t>
      </w:r>
      <w:proofErr w:type="gramEnd"/>
      <w:r w:rsidRPr="00E009B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натиснув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педаль та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різко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зірвався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місця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proofErr w:type="gram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Перевищивши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швидкість</w:t>
      </w:r>
      <w:proofErr w:type="spellEnd"/>
      <w:proofErr w:type="gram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руху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він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зробив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наїзд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пішохода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Валентинова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не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дивлячись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те,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що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у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нього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Власенка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існувала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технічна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можливість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зупинити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автомобіль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і, таким чином,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уникнути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наїзду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Внаслідок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отриманої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травми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у </w:t>
      </w:r>
      <w:proofErr w:type="spellStart"/>
      <w:proofErr w:type="gram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Валентинова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виник</w:t>
      </w:r>
      <w:proofErr w:type="spellEnd"/>
      <w:proofErr w:type="gram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тривалий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розлад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функцій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правої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ноги і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мовлення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proofErr w:type="gram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Оскільки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власником</w:t>
      </w:r>
      <w:proofErr w:type="spellEnd"/>
      <w:proofErr w:type="gram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„Вольво”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був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Чопей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то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саме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від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нього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Валентинов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вимагав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відшкодування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моральної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фізичної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шкоди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Чопей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проти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ць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proofErr w:type="spellEnd"/>
      <w:proofErr w:type="gram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заперечував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стверджуючи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що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його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вина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відсутня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оскільки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він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не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був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кермом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автомобіля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відповідальність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 шкоду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завдану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джерелом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підвищеної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небезпеки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має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E009B9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нести не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його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власник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а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володілець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Хто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має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відшкодувати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шкоду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завдану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здоров’ю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Валентинова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і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моральну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шкоду? Свою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відповідь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09B9">
        <w:rPr>
          <w:rFonts w:ascii="Times New Roman" w:eastAsia="Times New Roman" w:hAnsi="Times New Roman" w:cs="Times New Roman"/>
          <w:sz w:val="20"/>
          <w:szCs w:val="20"/>
          <w:lang w:val="ru-RU"/>
        </w:rPr>
        <w:t>обгрунтуйте</w:t>
      </w:r>
      <w:proofErr w:type="spellEnd"/>
      <w:r w:rsidRPr="00E009B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Розв’яжіть  задачу  № 2</w:t>
      </w:r>
      <w:r w:rsidR="00F969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(5 балів)</w:t>
      </w:r>
      <w:r w:rsidR="00D47A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Визначте,  який  саме  спосіб  захисту  сімейного  права  та  інтересу  судом  треба обрати  у  кожній  із  нижче  запропонованих  ситуацій: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Ситуація  1</w:t>
      </w:r>
      <w:r w:rsidRPr="00E009B9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Подружжя  Кравченків  бажає  оформити  через  суд  роздільне  проживання.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Ситуація  2</w:t>
      </w:r>
      <w:r w:rsidRPr="00E009B9">
        <w:rPr>
          <w:rFonts w:ascii="Times New Roman" w:eastAsia="Times New Roman" w:hAnsi="Times New Roman" w:cs="Times New Roman"/>
          <w:sz w:val="20"/>
          <w:szCs w:val="20"/>
          <w:lang w:eastAsia="ru-RU"/>
        </w:rPr>
        <w:t>. Після  трагічної  загибелі  батьків  семирічного  Артура  його  тітка  Горпина  хоче  його  усиновити.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Ситуація  3. </w:t>
      </w:r>
      <w:r w:rsidRPr="00E009B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Калина  не  бажає  перебувати  у  шлюбі  з  Дмитром,  який  було  укладено на  вимогу  покійного  батька  Калини  всупереч  її  волі.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Ситуація  4. </w:t>
      </w:r>
      <w:r w:rsidRPr="00E009B9">
        <w:rPr>
          <w:rFonts w:ascii="Times New Roman" w:eastAsia="Times New Roman" w:hAnsi="Times New Roman" w:cs="Times New Roman"/>
          <w:sz w:val="20"/>
          <w:szCs w:val="20"/>
          <w:lang w:eastAsia="ru-RU"/>
        </w:rPr>
        <w:t>Після  розірвання  шлюбу  з  Іриною,  Дмитро  ухиляється  від  надання  утримання  двом  малолітнім дочкам. Ірина  хоче  через  суд  примусити  свого  колишнього  чоловіка  надавати  утримання  дітям.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Ситуація  5</w:t>
      </w:r>
      <w:r w:rsidRPr="00E009B9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  рішенням  суду  після  розірвання  шлюбу  між  Галиною  та  Миколою,  місцем  проживання малолітніх  дітей було  визначено  їх  проживання  з  матір’ю. Однак,  всупереч  рішенню  суду,  Микола  забрав  дітей  до  себе  і  категорично  відмовився  їх  повернути  матері. Галина  хоче повернути  дітей.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0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Завдання  6. (максимум  9  балів)</w:t>
      </w: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09B9">
        <w:rPr>
          <w:rFonts w:ascii="Times New Roman" w:eastAsia="Calibri" w:hAnsi="Times New Roman" w:cs="Times New Roman"/>
          <w:sz w:val="20"/>
          <w:szCs w:val="20"/>
        </w:rPr>
        <w:t xml:space="preserve">Надайте  перелік  випадків,  у  яких  укладення  трудового  договору  у письмовій  формі  є  обов’язковим.      </w:t>
      </w:r>
    </w:p>
    <w:p w:rsidR="00E009B9" w:rsidRPr="00E009B9" w:rsidRDefault="00E009B9" w:rsidP="00E00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09B9" w:rsidRPr="00E009B9" w:rsidRDefault="00E009B9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09B9" w:rsidRPr="00D47ADC" w:rsidRDefault="00D47ADC" w:rsidP="00E009B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E009B9" w:rsidRPr="00D47A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Максимальна  кількість  балів  за  виконання  всіх  завдань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E009B9" w:rsidRPr="00D47A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009B9" w:rsidRDefault="00E009B9"/>
    <w:p w:rsidR="00F96989" w:rsidRDefault="00F96989"/>
    <w:p w:rsidR="00F96989" w:rsidRDefault="00F96989"/>
    <w:p w:rsidR="00F96989" w:rsidRPr="00F96989" w:rsidRDefault="00F96989">
      <w:pPr>
        <w:rPr>
          <w:rFonts w:ascii="Times New Roman" w:hAnsi="Times New Roman" w:cs="Times New Roman"/>
          <w:b/>
        </w:rPr>
      </w:pPr>
      <w:r w:rsidRPr="00F96989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D47ADC">
        <w:rPr>
          <w:rFonts w:ascii="Times New Roman" w:hAnsi="Times New Roman" w:cs="Times New Roman"/>
        </w:rPr>
        <w:t xml:space="preserve">       </w:t>
      </w:r>
      <w:r w:rsidRPr="00F96989">
        <w:rPr>
          <w:rFonts w:ascii="Times New Roman" w:hAnsi="Times New Roman" w:cs="Times New Roman"/>
        </w:rPr>
        <w:t xml:space="preserve">  </w:t>
      </w:r>
      <w:r w:rsidRPr="00F96989">
        <w:rPr>
          <w:rFonts w:ascii="Times New Roman" w:hAnsi="Times New Roman" w:cs="Times New Roman"/>
          <w:b/>
        </w:rPr>
        <w:t>Час виконання – 3,5 години.</w:t>
      </w:r>
    </w:p>
    <w:sectPr w:rsidR="00F96989" w:rsidRPr="00F969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D8"/>
    <w:rsid w:val="006C2CFC"/>
    <w:rsid w:val="00BD6DD8"/>
    <w:rsid w:val="00D47ADC"/>
    <w:rsid w:val="00E009B9"/>
    <w:rsid w:val="00F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4940"/>
  <w15:chartTrackingRefBased/>
  <w15:docId w15:val="{3E099C90-A304-4EB1-BB69-1C5AB900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5756</Words>
  <Characters>3282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</dc:creator>
  <cp:keywords/>
  <dc:description/>
  <cp:lastModifiedBy>Віта</cp:lastModifiedBy>
  <cp:revision>4</cp:revision>
  <dcterms:created xsi:type="dcterms:W3CDTF">2024-12-04T20:57:00Z</dcterms:created>
  <dcterms:modified xsi:type="dcterms:W3CDTF">2024-12-04T21:37:00Z</dcterms:modified>
</cp:coreProperties>
</file>